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A84E" w14:textId="5F203666" w:rsidR="00AA3522" w:rsidRPr="00AA3522" w:rsidRDefault="00AA3522" w:rsidP="00AA3522">
      <w:pPr>
        <w:jc w:val="both"/>
      </w:pPr>
      <w:r w:rsidRPr="00AA3522">
        <w:t>TORTÍCOLIS PAROXÍSTICO BENIGNO</w:t>
      </w:r>
    </w:p>
    <w:p w14:paraId="0A67A650" w14:textId="2523AB8A" w:rsidR="00C10715" w:rsidRDefault="00C10715" w:rsidP="00AA3522">
      <w:pPr>
        <w:jc w:val="both"/>
      </w:pPr>
      <w:r>
        <w:t xml:space="preserve">Lucia </w:t>
      </w:r>
      <w:proofErr w:type="spellStart"/>
      <w:r>
        <w:t>Samperiz</w:t>
      </w:r>
      <w:proofErr w:type="spellEnd"/>
      <w:r>
        <w:t xml:space="preserve"> </w:t>
      </w:r>
      <w:proofErr w:type="spellStart"/>
      <w:r>
        <w:t>Sinovas</w:t>
      </w:r>
      <w:proofErr w:type="spellEnd"/>
      <w:r>
        <w:t xml:space="preserve">, Paula Domingo Alemán, Pablo Chicano </w:t>
      </w:r>
      <w:proofErr w:type="spellStart"/>
      <w:r>
        <w:t>Cazaña</w:t>
      </w:r>
      <w:proofErr w:type="spellEnd"/>
      <w:r>
        <w:t xml:space="preserve">, Carmen </w:t>
      </w:r>
      <w:r w:rsidR="00D60564">
        <w:t>Martínez</w:t>
      </w:r>
      <w:r>
        <w:t xml:space="preserve"> </w:t>
      </w:r>
      <w:r w:rsidR="00D60564">
        <w:t>Ferrandez</w:t>
      </w:r>
      <w:r>
        <w:t>,</w:t>
      </w:r>
      <w:r w:rsidR="00D60564">
        <w:t xml:space="preserve"> Sara Guzmán Quirós, Tamara Esparza Perez</w:t>
      </w:r>
    </w:p>
    <w:p w14:paraId="01D07BB3" w14:textId="320F2769" w:rsidR="00AA3522" w:rsidRPr="00AA3522" w:rsidRDefault="00C10715" w:rsidP="00AA3522">
      <w:pPr>
        <w:jc w:val="both"/>
      </w:pPr>
      <w:r>
        <w:t xml:space="preserve"> </w:t>
      </w:r>
    </w:p>
    <w:p w14:paraId="174D289E" w14:textId="4CCF044C" w:rsidR="00AA3522" w:rsidRPr="00AA3522" w:rsidRDefault="00AA3522" w:rsidP="00AA3522">
      <w:pPr>
        <w:jc w:val="both"/>
        <w:rPr>
          <w:b/>
          <w:bCs/>
        </w:rPr>
      </w:pPr>
      <w:r w:rsidRPr="00AA3522">
        <w:rPr>
          <w:b/>
          <w:bCs/>
        </w:rPr>
        <w:t>Introducción</w:t>
      </w:r>
    </w:p>
    <w:p w14:paraId="32DCE94F" w14:textId="77777777" w:rsidR="00AA3522" w:rsidRPr="00AA3522" w:rsidRDefault="00AA3522" w:rsidP="00AA3522">
      <w:pPr>
        <w:jc w:val="both"/>
      </w:pPr>
    </w:p>
    <w:p w14:paraId="4EC2DFFC" w14:textId="028A9177" w:rsidR="00AA3522" w:rsidRDefault="00AA3522" w:rsidP="00AA3522">
      <w:pPr>
        <w:jc w:val="both"/>
      </w:pPr>
      <w:r w:rsidRPr="00AA3522">
        <w:t xml:space="preserve">El </w:t>
      </w:r>
      <w:r w:rsidR="00657381">
        <w:t>torticolis paroxístico benigno (</w:t>
      </w:r>
      <w:r w:rsidRPr="00AA3522">
        <w:t>TPB</w:t>
      </w:r>
      <w:r w:rsidR="00657381">
        <w:t>)</w:t>
      </w:r>
      <w:r w:rsidRPr="00AA3522">
        <w:t xml:space="preserve"> se incluye dentro de los </w:t>
      </w:r>
      <w:proofErr w:type="gramStart"/>
      <w:r w:rsidRPr="00AA3522">
        <w:t>trastorno paroxísticos</w:t>
      </w:r>
      <w:proofErr w:type="gramEnd"/>
      <w:r w:rsidRPr="00AA3522">
        <w:t xml:space="preserve"> no epilépticos. La clínica </w:t>
      </w:r>
      <w:r w:rsidR="00EF6622">
        <w:t>consiste en</w:t>
      </w:r>
      <w:r w:rsidRPr="00AA3522">
        <w:t xml:space="preserve"> episodios periódicos indoloros de tortícolis, de duración variable (desde minutos hasta varios días). </w:t>
      </w:r>
      <w:r w:rsidR="00EF6622" w:rsidRPr="00AA3522">
        <w:t>Frecue</w:t>
      </w:r>
      <w:r w:rsidR="00657381">
        <w:t>ntemente</w:t>
      </w:r>
      <w:r w:rsidR="00EF6622" w:rsidRPr="00AA3522">
        <w:t xml:space="preserve"> </w:t>
      </w:r>
      <w:r w:rsidR="00EF6622">
        <w:t xml:space="preserve">asocia </w:t>
      </w:r>
      <w:r w:rsidR="00EF6622" w:rsidRPr="00AA3522">
        <w:t>otros síntomas: palidez, vómitos, ataxia, cambios del comportamiento (somnolencia o irritabilidad), desviación de la mirada hacia arriba, incurvación anormal del tronco (</w:t>
      </w:r>
      <w:proofErr w:type="spellStart"/>
      <w:r w:rsidR="00EF6622" w:rsidRPr="00AA3522">
        <w:rPr>
          <w:i/>
          <w:iCs/>
        </w:rPr>
        <w:t>tortipelvis</w:t>
      </w:r>
      <w:proofErr w:type="spellEnd"/>
      <w:r w:rsidR="00EF6622" w:rsidRPr="00AA3522">
        <w:t>) o contracción de los músculos de la parte posterior del cuello (</w:t>
      </w:r>
      <w:proofErr w:type="spellStart"/>
      <w:r w:rsidR="00EF6622" w:rsidRPr="00AA3522">
        <w:rPr>
          <w:i/>
          <w:iCs/>
        </w:rPr>
        <w:t>retrocollis</w:t>
      </w:r>
      <w:proofErr w:type="spellEnd"/>
      <w:r w:rsidR="00EF6622" w:rsidRPr="00AA3522">
        <w:t xml:space="preserve">). </w:t>
      </w:r>
      <w:r w:rsidRPr="00AA3522">
        <w:t xml:space="preserve">Suele debutar en las primeras semanas o meses de vida (generalmente 2-8 meses). Disminuyen de frecuencia con la edad y suelen remitir en un máximo de 5 años.  </w:t>
      </w:r>
      <w:r w:rsidR="00EF6622">
        <w:t xml:space="preserve">Actualmente solo hay 150 casos reportados en la </w:t>
      </w:r>
      <w:r w:rsidR="00657381">
        <w:t>bibliografía</w:t>
      </w:r>
      <w:r w:rsidRPr="00AA3522">
        <w:t xml:space="preserve">, probablemente </w:t>
      </w:r>
      <w:r w:rsidR="00EF6622">
        <w:t>infradiagnosticados</w:t>
      </w:r>
      <w:r w:rsidRPr="00AA3522">
        <w:t xml:space="preserve"> por su carácter benigno</w:t>
      </w:r>
      <w:r w:rsidR="00EF6622">
        <w:t xml:space="preserve"> y</w:t>
      </w:r>
      <w:r w:rsidRPr="00AA3522">
        <w:t xml:space="preserve"> pronostico favorable</w:t>
      </w:r>
      <w:r w:rsidR="00EF6622">
        <w:t>.</w:t>
      </w:r>
      <w:r w:rsidRPr="00AA3522">
        <w:t xml:space="preserve"> Es </w:t>
      </w:r>
      <w:proofErr w:type="spellStart"/>
      <w:r w:rsidRPr="00AA3522">
        <w:t>mas</w:t>
      </w:r>
      <w:proofErr w:type="spellEnd"/>
      <w:r w:rsidRPr="00AA3522">
        <w:t xml:space="preserve"> frecuente en niñas</w:t>
      </w:r>
      <w:r w:rsidR="00EF6622">
        <w:t xml:space="preserve"> y l</w:t>
      </w:r>
      <w:r w:rsidRPr="00AA3522">
        <w:t xml:space="preserve">a etiopatogenia es desconocida. </w:t>
      </w:r>
    </w:p>
    <w:p w14:paraId="603A7037" w14:textId="04ADB1D2" w:rsidR="00AA3522" w:rsidRPr="00AA3522" w:rsidRDefault="00EF6622" w:rsidP="00AA3522">
      <w:pPr>
        <w:jc w:val="both"/>
      </w:pPr>
      <w:r>
        <w:t xml:space="preserve">El </w:t>
      </w:r>
      <w:r w:rsidR="00657381">
        <w:t>diagnóstico</w:t>
      </w:r>
      <w:r w:rsidR="00AA3522">
        <w:t xml:space="preserve"> es clínico, necesitando una anamnesis detallada de los episodios y seguimiento evolutivo hasta que las crisis desaparezcan</w:t>
      </w:r>
      <w:r>
        <w:t xml:space="preserve">. Actualmente los videos que aportan las familias son de gran utilidad. </w:t>
      </w:r>
      <w:r w:rsidR="00AA3522">
        <w:t xml:space="preserve">La realización de pruebas complementarias se deberá individualizar en cada caso. No existe un tratamiento </w:t>
      </w:r>
      <w:r w:rsidR="00657381">
        <w:t>específico</w:t>
      </w:r>
      <w:r>
        <w:t xml:space="preserve">, los </w:t>
      </w:r>
      <w:r w:rsidR="00657381">
        <w:t>episodios</w:t>
      </w:r>
      <w:r>
        <w:t xml:space="preserve"> se resuelven </w:t>
      </w:r>
      <w:r w:rsidR="00657381">
        <w:t>espontáneamente</w:t>
      </w:r>
      <w:r>
        <w:t xml:space="preserve">, por lo que el </w:t>
      </w:r>
      <w:r w:rsidR="00657381">
        <w:t>pronóstico</w:t>
      </w:r>
      <w:r>
        <w:t xml:space="preserve"> es favorable</w:t>
      </w:r>
      <w:r w:rsidR="00AA3522">
        <w:t xml:space="preserve">. </w:t>
      </w:r>
    </w:p>
    <w:p w14:paraId="5F6347C6" w14:textId="77777777" w:rsidR="00AA3522" w:rsidRPr="00AA3522" w:rsidRDefault="00AA3522" w:rsidP="00AA3522">
      <w:pPr>
        <w:jc w:val="both"/>
      </w:pPr>
    </w:p>
    <w:p w14:paraId="20AEAD04" w14:textId="02E49C4F" w:rsidR="00AA3522" w:rsidRPr="00AA3522" w:rsidRDefault="00AA3522" w:rsidP="00AA3522">
      <w:pPr>
        <w:jc w:val="both"/>
        <w:rPr>
          <w:b/>
          <w:bCs/>
        </w:rPr>
      </w:pPr>
      <w:r w:rsidRPr="00AA3522">
        <w:rPr>
          <w:b/>
          <w:bCs/>
        </w:rPr>
        <w:t>Caso clínico </w:t>
      </w:r>
    </w:p>
    <w:p w14:paraId="68303DD4" w14:textId="77777777" w:rsidR="00AA3522" w:rsidRPr="00AA3522" w:rsidRDefault="00AA3522" w:rsidP="00AA3522">
      <w:pPr>
        <w:jc w:val="both"/>
      </w:pPr>
    </w:p>
    <w:p w14:paraId="7B00FCD7" w14:textId="31922448" w:rsidR="00AA3522" w:rsidRPr="00AA3522" w:rsidRDefault="00AA3522" w:rsidP="00AA3522">
      <w:pPr>
        <w:tabs>
          <w:tab w:val="num" w:pos="720"/>
        </w:tabs>
        <w:jc w:val="both"/>
      </w:pPr>
      <w:r w:rsidRPr="00AA3522">
        <w:t>Lactante de 10 meses traído a urgencias por presentar desde hace 48</w:t>
      </w:r>
      <w:r w:rsidR="00EF6622">
        <w:t xml:space="preserve"> horas</w:t>
      </w:r>
      <w:r w:rsidRPr="00AA3522">
        <w:t xml:space="preserve"> inclinación cefálica hacia la derecha con mentón hacia hombro izquierdo. Presenta movilidad del cuello</w:t>
      </w:r>
      <w:r w:rsidR="00EF6622">
        <w:t xml:space="preserve"> conservada, </w:t>
      </w:r>
      <w:r w:rsidRPr="00AA3522">
        <w:t xml:space="preserve">pero mantiene </w:t>
      </w:r>
      <w:r w:rsidR="00EF6622">
        <w:t xml:space="preserve">postura de desviación </w:t>
      </w:r>
      <w:r w:rsidR="00A7228A">
        <w:t>cefálica</w:t>
      </w:r>
      <w:r w:rsidRPr="00AA3522">
        <w:t xml:space="preserve">. No asocia nistagmo, vómitos, irritabilidad ni otra sintomatología. Afebril. Niega episodios </w:t>
      </w:r>
      <w:r w:rsidR="00EF6622">
        <w:t>previos</w:t>
      </w:r>
      <w:r w:rsidRPr="00AA3522">
        <w:t xml:space="preserve"> similares.</w:t>
      </w:r>
    </w:p>
    <w:p w14:paraId="7FB3DE61" w14:textId="70D2EFD2" w:rsidR="00AA3522" w:rsidRPr="00AA3522" w:rsidRDefault="00AA3522" w:rsidP="00AA3522">
      <w:pPr>
        <w:jc w:val="both"/>
      </w:pPr>
      <w:r w:rsidRPr="00AA3522">
        <w:rPr>
          <w:u w:val="single"/>
        </w:rPr>
        <w:t>Antecedentes personales</w:t>
      </w:r>
      <w:r w:rsidRPr="00AA3522">
        <w:t>: Parto eutócico a término (39+5 SG</w:t>
      </w:r>
      <w:r w:rsidR="00EF6622">
        <w:t>).</w:t>
      </w:r>
      <w:r w:rsidR="00A7228A">
        <w:t xml:space="preserve"> </w:t>
      </w:r>
      <w:r w:rsidRPr="00AA3522">
        <w:t xml:space="preserve">Apgar 8/9 con gasometría de cordón patológica. Hipoxia perinatal sin </w:t>
      </w:r>
      <w:r w:rsidR="00EF6622">
        <w:t xml:space="preserve">cumplir criterios de </w:t>
      </w:r>
      <w:r w:rsidRPr="00AA3522">
        <w:t xml:space="preserve">encefalopatía, con controles clínicos y gasométricos en maternidad normales. Ecografía </w:t>
      </w:r>
      <w:proofErr w:type="spellStart"/>
      <w:r w:rsidRPr="00AA3522">
        <w:t>transfontanelar</w:t>
      </w:r>
      <w:proofErr w:type="spellEnd"/>
      <w:r w:rsidRPr="00AA3522">
        <w:t xml:space="preserve"> sin alteraciones. No otros antecedentes de interés. </w:t>
      </w:r>
    </w:p>
    <w:p w14:paraId="43E3F1CB" w14:textId="11D2B16F" w:rsidR="008F4DB2" w:rsidRDefault="00AA3522" w:rsidP="00AA3522">
      <w:pPr>
        <w:jc w:val="both"/>
      </w:pPr>
      <w:r w:rsidRPr="00AA3522">
        <w:rPr>
          <w:u w:val="single"/>
        </w:rPr>
        <w:t>Exploración física:</w:t>
      </w:r>
      <w:r w:rsidRPr="00AA3522">
        <w:t xml:space="preserve"> Destaca la inclinación cefálica hacia la derecha con mentón hacia hombro </w:t>
      </w:r>
      <w:proofErr w:type="gramStart"/>
      <w:r w:rsidRPr="00AA3522">
        <w:t>izquierdo</w:t>
      </w:r>
      <w:proofErr w:type="gramEnd"/>
      <w:r w:rsidRPr="00AA3522">
        <w:t xml:space="preserve"> pero con movilización normal del cuello, sin limitación. No impresiona de doloroso. Exploración neurológica normal, con desarrollo psicomotor acorde a su edad. Resto sin alteraciones.</w:t>
      </w:r>
    </w:p>
    <w:p w14:paraId="516D68A9" w14:textId="0BF96091" w:rsidR="00AA3522" w:rsidRDefault="00EF6622" w:rsidP="00AA3522">
      <w:pPr>
        <w:jc w:val="both"/>
      </w:pPr>
      <w:r>
        <w:t xml:space="preserve">Ingresa en planta de </w:t>
      </w:r>
      <w:r w:rsidR="00A7228A">
        <w:t>pediatría</w:t>
      </w:r>
      <w:r>
        <w:t xml:space="preserve"> con mejoría progresiva hasta la resolución del cuadro en 3-4 </w:t>
      </w:r>
      <w:r w:rsidR="00A7228A">
        <w:t xml:space="preserve">días. Se realiza RMN cerebral que es normal, no solicitándose otros estudios, dada la resolución del cuadro. </w:t>
      </w:r>
    </w:p>
    <w:p w14:paraId="705B74AB" w14:textId="77777777" w:rsidR="00AA3522" w:rsidRDefault="00AA3522" w:rsidP="00AA3522">
      <w:pPr>
        <w:jc w:val="both"/>
      </w:pPr>
    </w:p>
    <w:p w14:paraId="7B8D1EE5" w14:textId="2BAABE10" w:rsidR="00AA3522" w:rsidRPr="00AA3522" w:rsidRDefault="00AA3522" w:rsidP="00AA3522">
      <w:pPr>
        <w:jc w:val="both"/>
        <w:rPr>
          <w:b/>
          <w:bCs/>
        </w:rPr>
      </w:pPr>
      <w:r w:rsidRPr="00AA3522">
        <w:rPr>
          <w:b/>
          <w:bCs/>
        </w:rPr>
        <w:t>Conclusión</w:t>
      </w:r>
    </w:p>
    <w:p w14:paraId="320316BC" w14:textId="1CD59ADE" w:rsidR="00A7228A" w:rsidRPr="00AA3522" w:rsidRDefault="00AA3522" w:rsidP="00AA3522">
      <w:pPr>
        <w:jc w:val="both"/>
      </w:pPr>
      <w:r>
        <w:t xml:space="preserve">Ante un cuadro de inclinación cefálica debemos pensar en esta entidad, pero siempre descartando otras patologías no tan benignas anteriormente. </w:t>
      </w:r>
      <w:r w:rsidR="00657381">
        <w:t xml:space="preserve">Es importante ante un paciente con esta clínica, sobre todo en un primer episodio, excluir intoxicación, efectos </w:t>
      </w:r>
      <w:r w:rsidR="00657381">
        <w:lastRenderedPageBreak/>
        <w:t>adversos de los medicamentos, malformaciones, tumores de la fosa posterior en casos con síntomas asociados</w:t>
      </w:r>
    </w:p>
    <w:sectPr w:rsidR="00A7228A" w:rsidRPr="00AA3522"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D093F"/>
    <w:multiLevelType w:val="multilevel"/>
    <w:tmpl w:val="A8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092821"/>
    <w:multiLevelType w:val="multilevel"/>
    <w:tmpl w:val="4B289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AF0A78"/>
    <w:multiLevelType w:val="multilevel"/>
    <w:tmpl w:val="C1DA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B018DD"/>
    <w:multiLevelType w:val="multilevel"/>
    <w:tmpl w:val="35E8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5279882">
    <w:abstractNumId w:val="2"/>
  </w:num>
  <w:num w:numId="2" w16cid:durableId="1469057237">
    <w:abstractNumId w:val="1"/>
  </w:num>
  <w:num w:numId="3" w16cid:durableId="2119907108">
    <w:abstractNumId w:val="0"/>
  </w:num>
  <w:num w:numId="4" w16cid:durableId="1620064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522"/>
    <w:rsid w:val="00360B8F"/>
    <w:rsid w:val="0048794C"/>
    <w:rsid w:val="00552E60"/>
    <w:rsid w:val="00657381"/>
    <w:rsid w:val="008F4DB2"/>
    <w:rsid w:val="00A7228A"/>
    <w:rsid w:val="00AA3522"/>
    <w:rsid w:val="00C10715"/>
    <w:rsid w:val="00D5132E"/>
    <w:rsid w:val="00D60564"/>
    <w:rsid w:val="00E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09EA23"/>
  <w15:chartTrackingRefBased/>
  <w15:docId w15:val="{DBDB1365-FA00-DC48-BD47-3A364999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352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SAMPERIZ SINOVAS</dc:creator>
  <cp:keywords/>
  <dc:description/>
  <cp:lastModifiedBy>LUCIA SAMPERIZ SINOVAS</cp:lastModifiedBy>
  <cp:revision>3</cp:revision>
  <dcterms:created xsi:type="dcterms:W3CDTF">2023-11-07T17:13:00Z</dcterms:created>
  <dcterms:modified xsi:type="dcterms:W3CDTF">2023-11-07T17:16:00Z</dcterms:modified>
</cp:coreProperties>
</file>